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C70" w:rsidRPr="00547C70" w:rsidRDefault="00547C70" w:rsidP="00547C70">
      <w:pPr>
        <w:spacing w:line="240" w:lineRule="auto"/>
        <w:rPr>
          <w:rFonts w:ascii="Times New Roman" w:eastAsia="Calibri" w:hAnsi="Times New Roman" w:cs="Times New Roman"/>
          <w:szCs w:val="24"/>
          <w:lang w:val="en-GB"/>
        </w:rPr>
      </w:pPr>
    </w:p>
    <w:p w:rsidR="00547C70" w:rsidRPr="00547C70" w:rsidRDefault="00547C70" w:rsidP="00547C70">
      <w:pPr>
        <w:spacing w:line="240" w:lineRule="auto"/>
        <w:rPr>
          <w:rFonts w:ascii="Times New Roman" w:eastAsia="Calibri" w:hAnsi="Times New Roman" w:cs="Times New Roman"/>
          <w:szCs w:val="24"/>
          <w:lang w:val="en-GB"/>
        </w:rPr>
      </w:pPr>
    </w:p>
    <w:p w:rsidR="00547C70" w:rsidRPr="002402E7" w:rsidRDefault="0092653C" w:rsidP="00C82246">
      <w:pPr>
        <w:spacing w:line="240" w:lineRule="auto"/>
        <w:ind w:left="0" w:firstLine="0"/>
        <w:jc w:val="center"/>
        <w:rPr>
          <w:rFonts w:ascii="Times New Roman" w:eastAsia="Calibri" w:hAnsi="Times New Roman" w:cs="Times New Roman"/>
          <w:b/>
          <w:sz w:val="20"/>
          <w:szCs w:val="20"/>
          <w:lang w:val="en-GB"/>
        </w:rPr>
      </w:pPr>
      <w:r w:rsidRPr="002402E7">
        <w:rPr>
          <w:rFonts w:ascii="Times New Roman" w:eastAsia="Calibri" w:hAnsi="Times New Roman" w:cs="Times New Roman"/>
          <w:b/>
          <w:sz w:val="20"/>
          <w:szCs w:val="20"/>
          <w:lang w:val="en-GB"/>
        </w:rPr>
        <w:t>Financial Forecasting</w:t>
      </w:r>
    </w:p>
    <w:p w:rsidR="00547C70" w:rsidRPr="002402E7" w:rsidRDefault="00547C70" w:rsidP="00C82246">
      <w:pPr>
        <w:spacing w:line="240" w:lineRule="auto"/>
        <w:ind w:left="0" w:firstLine="0"/>
        <w:jc w:val="center"/>
        <w:rPr>
          <w:rFonts w:ascii="Times New Roman" w:eastAsia="Calibri" w:hAnsi="Times New Roman" w:cs="Times New Roman"/>
          <w:sz w:val="20"/>
          <w:szCs w:val="20"/>
          <w:lang w:val="en-GB"/>
        </w:rPr>
      </w:pPr>
    </w:p>
    <w:p w:rsidR="00547C70" w:rsidRDefault="00547C70" w:rsidP="00C82246">
      <w:pPr>
        <w:spacing w:line="240" w:lineRule="auto"/>
        <w:ind w:left="0" w:firstLine="0"/>
        <w:jc w:val="center"/>
        <w:rPr>
          <w:rFonts w:ascii="Times New Roman" w:eastAsia="Calibri" w:hAnsi="Times New Roman" w:cs="Times New Roman"/>
          <w:sz w:val="20"/>
          <w:szCs w:val="20"/>
          <w:lang w:val="en-GB"/>
        </w:rPr>
      </w:pPr>
    </w:p>
    <w:p w:rsidR="00C82246" w:rsidRDefault="00C82246" w:rsidP="00C82246">
      <w:pPr>
        <w:spacing w:line="240" w:lineRule="auto"/>
        <w:ind w:left="0" w:firstLine="0"/>
        <w:jc w:val="center"/>
        <w:rPr>
          <w:rFonts w:ascii="Times New Roman" w:eastAsia="Calibri" w:hAnsi="Times New Roman" w:cs="Times New Roman"/>
          <w:sz w:val="20"/>
          <w:szCs w:val="20"/>
          <w:lang w:val="en-GB"/>
        </w:rPr>
      </w:pPr>
    </w:p>
    <w:p w:rsidR="00C82246" w:rsidRPr="002402E7" w:rsidRDefault="00C82246" w:rsidP="00C82246">
      <w:pPr>
        <w:spacing w:line="240" w:lineRule="auto"/>
        <w:ind w:left="0" w:firstLine="0"/>
        <w:jc w:val="center"/>
        <w:rPr>
          <w:rFonts w:ascii="Times New Roman" w:eastAsia="Calibri" w:hAnsi="Times New Roman" w:cs="Times New Roman"/>
          <w:sz w:val="20"/>
          <w:szCs w:val="20"/>
          <w:lang w:val="en-GB"/>
        </w:rPr>
      </w:pPr>
    </w:p>
    <w:p w:rsidR="00547C70" w:rsidRPr="002402E7" w:rsidRDefault="00547C70" w:rsidP="00C82246">
      <w:pPr>
        <w:spacing w:line="240" w:lineRule="auto"/>
        <w:ind w:left="0" w:firstLine="0"/>
        <w:jc w:val="center"/>
        <w:rPr>
          <w:rFonts w:ascii="Times New Roman" w:eastAsia="Calibri" w:hAnsi="Times New Roman" w:cs="Times New Roman"/>
          <w:sz w:val="20"/>
          <w:szCs w:val="20"/>
          <w:lang w:val="en-GB"/>
        </w:rPr>
      </w:pPr>
    </w:p>
    <w:p w:rsidR="00547C70" w:rsidRPr="002402E7" w:rsidRDefault="00547C70" w:rsidP="00C82246">
      <w:pPr>
        <w:spacing w:line="240" w:lineRule="auto"/>
        <w:ind w:left="0" w:firstLine="0"/>
        <w:jc w:val="center"/>
        <w:rPr>
          <w:rFonts w:ascii="Times New Roman" w:eastAsia="Calibri" w:hAnsi="Times New Roman" w:cs="Times New Roman"/>
          <w:sz w:val="20"/>
          <w:szCs w:val="20"/>
          <w:lang w:val="en-GB"/>
        </w:rPr>
      </w:pPr>
    </w:p>
    <w:p w:rsidR="00547C70" w:rsidRPr="002402E7" w:rsidRDefault="0092653C" w:rsidP="00C82246">
      <w:pPr>
        <w:spacing w:line="240" w:lineRule="auto"/>
        <w:ind w:left="0" w:firstLine="0"/>
        <w:jc w:val="center"/>
        <w:rPr>
          <w:rFonts w:ascii="Times New Roman" w:eastAsia="Calibri" w:hAnsi="Times New Roman" w:cs="Times New Roman"/>
          <w:sz w:val="20"/>
          <w:szCs w:val="20"/>
          <w:lang w:val="en-GB"/>
        </w:rPr>
      </w:pPr>
      <w:r w:rsidRPr="002402E7">
        <w:rPr>
          <w:rFonts w:ascii="Times New Roman" w:eastAsia="Calibri" w:hAnsi="Times New Roman" w:cs="Times New Roman"/>
          <w:sz w:val="20"/>
          <w:szCs w:val="20"/>
          <w:lang w:val="en-GB"/>
        </w:rPr>
        <w:t>Name</w:t>
      </w:r>
    </w:p>
    <w:p w:rsidR="00547C70" w:rsidRPr="002402E7" w:rsidRDefault="0092653C" w:rsidP="00C82246">
      <w:pPr>
        <w:spacing w:line="240" w:lineRule="auto"/>
        <w:ind w:left="0" w:firstLine="0"/>
        <w:jc w:val="center"/>
        <w:rPr>
          <w:rFonts w:ascii="Times New Roman" w:eastAsia="Calibri" w:hAnsi="Times New Roman" w:cs="Times New Roman"/>
          <w:sz w:val="20"/>
          <w:szCs w:val="20"/>
          <w:lang w:val="en-GB"/>
        </w:rPr>
      </w:pPr>
      <w:r w:rsidRPr="002402E7">
        <w:rPr>
          <w:rFonts w:ascii="Times New Roman" w:eastAsia="Calibri" w:hAnsi="Times New Roman" w:cs="Times New Roman"/>
          <w:sz w:val="20"/>
          <w:szCs w:val="20"/>
          <w:lang w:val="en-GB"/>
        </w:rPr>
        <w:t>Institution of affiliation</w:t>
      </w:r>
    </w:p>
    <w:p w:rsidR="00547C70" w:rsidRPr="002402E7" w:rsidRDefault="0092653C" w:rsidP="00C82246">
      <w:pPr>
        <w:spacing w:line="240" w:lineRule="auto"/>
        <w:ind w:left="0" w:firstLine="0"/>
        <w:jc w:val="center"/>
        <w:rPr>
          <w:rFonts w:ascii="Times New Roman" w:eastAsia="Calibri" w:hAnsi="Times New Roman" w:cs="Times New Roman"/>
          <w:sz w:val="20"/>
          <w:szCs w:val="20"/>
          <w:lang w:val="en-GB"/>
        </w:rPr>
      </w:pPr>
      <w:r w:rsidRPr="002402E7">
        <w:rPr>
          <w:rFonts w:ascii="Times New Roman" w:eastAsia="Calibri" w:hAnsi="Times New Roman" w:cs="Times New Roman"/>
          <w:sz w:val="20"/>
          <w:szCs w:val="20"/>
          <w:lang w:val="en-GB"/>
        </w:rPr>
        <w:t>Professor</w:t>
      </w:r>
    </w:p>
    <w:p w:rsidR="00547C70" w:rsidRPr="002402E7" w:rsidRDefault="0092653C" w:rsidP="00C82246">
      <w:pPr>
        <w:spacing w:line="240" w:lineRule="auto"/>
        <w:ind w:left="0" w:firstLine="0"/>
        <w:jc w:val="center"/>
        <w:rPr>
          <w:rFonts w:ascii="Times New Roman" w:eastAsia="Calibri" w:hAnsi="Times New Roman" w:cs="Times New Roman"/>
          <w:sz w:val="20"/>
          <w:szCs w:val="20"/>
          <w:lang w:val="en-GB"/>
        </w:rPr>
      </w:pPr>
      <w:r w:rsidRPr="002402E7">
        <w:rPr>
          <w:rFonts w:ascii="Times New Roman" w:eastAsia="Calibri" w:hAnsi="Times New Roman" w:cs="Times New Roman"/>
          <w:sz w:val="20"/>
          <w:szCs w:val="20"/>
          <w:lang w:val="en-GB"/>
        </w:rPr>
        <w:t>Date</w:t>
      </w:r>
    </w:p>
    <w:p w:rsidR="00D323A7" w:rsidRPr="002402E7" w:rsidRDefault="00D323A7">
      <w:pPr>
        <w:rPr>
          <w:sz w:val="20"/>
          <w:szCs w:val="20"/>
        </w:rPr>
      </w:pPr>
    </w:p>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C00121" w:rsidRDefault="00C00121"/>
    <w:p w:rsidR="007C6FDC" w:rsidRDefault="007C6FDC"/>
    <w:p w:rsidR="00D456F0" w:rsidRDefault="00D456F0" w:rsidP="00941012">
      <w:pPr>
        <w:tabs>
          <w:tab w:val="left" w:pos="645"/>
        </w:tabs>
        <w:spacing w:line="240" w:lineRule="auto"/>
        <w:ind w:left="0" w:firstLine="0"/>
      </w:pPr>
    </w:p>
    <w:p w:rsidR="00D456F0" w:rsidRDefault="00D456F0" w:rsidP="00941012">
      <w:pPr>
        <w:tabs>
          <w:tab w:val="left" w:pos="645"/>
        </w:tabs>
        <w:spacing w:line="240" w:lineRule="auto"/>
        <w:ind w:left="0" w:firstLine="0"/>
      </w:pPr>
    </w:p>
    <w:p w:rsidR="00FF45EB" w:rsidRPr="00FF45EB" w:rsidRDefault="00FF45EB" w:rsidP="00D456F0">
      <w:pPr>
        <w:tabs>
          <w:tab w:val="left" w:pos="645"/>
        </w:tabs>
        <w:spacing w:line="240" w:lineRule="auto"/>
        <w:ind w:left="0" w:firstLine="0"/>
        <w:jc w:val="center"/>
        <w:rPr>
          <w:rFonts w:ascii="Times New Roman" w:eastAsia="Calibri" w:hAnsi="Times New Roman" w:cs="Times New Roman"/>
          <w:b/>
          <w:sz w:val="20"/>
          <w:szCs w:val="20"/>
        </w:rPr>
      </w:pPr>
      <w:r w:rsidRPr="00FF45EB">
        <w:rPr>
          <w:rFonts w:ascii="Times New Roman" w:eastAsia="Calibri" w:hAnsi="Times New Roman" w:cs="Times New Roman"/>
          <w:b/>
          <w:sz w:val="20"/>
          <w:szCs w:val="20"/>
        </w:rPr>
        <w:lastRenderedPageBreak/>
        <w:t>Part 1</w:t>
      </w:r>
    </w:p>
    <w:p w:rsidR="00941012" w:rsidRPr="00941012" w:rsidRDefault="00FF45EB" w:rsidP="00941012">
      <w:pPr>
        <w:tabs>
          <w:tab w:val="left" w:pos="645"/>
        </w:tabs>
        <w:spacing w:line="240" w:lineRule="auto"/>
        <w:ind w:left="0" w:firstLine="0"/>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D456F0">
        <w:rPr>
          <w:rFonts w:ascii="Times New Roman" w:eastAsia="Calibri" w:hAnsi="Times New Roman" w:cs="Times New Roman"/>
          <w:sz w:val="20"/>
          <w:szCs w:val="20"/>
        </w:rPr>
        <w:tab/>
      </w:r>
      <w:r w:rsidR="0092653C" w:rsidRPr="00941012">
        <w:rPr>
          <w:rFonts w:ascii="Times New Roman" w:eastAsia="Calibri" w:hAnsi="Times New Roman" w:cs="Times New Roman"/>
          <w:sz w:val="20"/>
          <w:szCs w:val="20"/>
        </w:rPr>
        <w:t xml:space="preserve">Financial forecasting is a significant part of business management duties as it helps the business plan its budget. The main motive and intension of economic forecasting are to estimate the expenses and the organizations' revenues. Estimating the businesses' financial requirements is one of the most critical parts of financial forecasting. The capital of all the organizations' project is determined and evaluated before the actual project is affected. By forecasting the management of the business can make sound financial decisions and can track the performance of the task against the forecast statements. In this module, the process of financial forecasting has been explained in a detailed way to help us understand and appreciate the essence of the same. The forecasting process is done through the forecasting of the financial statements that is forecasting the income statement, forecasting the balance sheet, taking to consideration the additional issues of forecasting and lastly predicting the organizations' statement of cash flow.  The forecasting of the income statement involves forecasting the revenues, forecasting the operating expenses, and forecasting the non-operating costs. The forecasting of the balance sheet items requires forecasting the operational and non-operating assets, predicting the liabilities that are </w:t>
      </w:r>
      <w:proofErr w:type="gramStart"/>
      <w:r w:rsidR="0092653C" w:rsidRPr="00941012">
        <w:rPr>
          <w:rFonts w:ascii="Times New Roman" w:eastAsia="Calibri" w:hAnsi="Times New Roman" w:cs="Times New Roman"/>
          <w:sz w:val="20"/>
          <w:szCs w:val="20"/>
        </w:rPr>
        <w:t>non-operating,</w:t>
      </w:r>
      <w:proofErr w:type="gramEnd"/>
      <w:r w:rsidR="0092653C" w:rsidRPr="00941012">
        <w:rPr>
          <w:rFonts w:ascii="Times New Roman" w:eastAsia="Calibri" w:hAnsi="Times New Roman" w:cs="Times New Roman"/>
          <w:sz w:val="20"/>
          <w:szCs w:val="20"/>
        </w:rPr>
        <w:t xml:space="preserve"> and forecasting equity requirements. After predicting the income and the balance sheet items, the last statement to work on is the cash flow statement. In </w:t>
      </w:r>
      <w:proofErr w:type="gramStart"/>
      <w:r w:rsidR="0092653C" w:rsidRPr="00941012">
        <w:rPr>
          <w:rFonts w:ascii="Times New Roman" w:eastAsia="Calibri" w:hAnsi="Times New Roman" w:cs="Times New Roman"/>
          <w:sz w:val="20"/>
          <w:szCs w:val="20"/>
        </w:rPr>
        <w:t>furcating</w:t>
      </w:r>
      <w:proofErr w:type="gramEnd"/>
      <w:r w:rsidR="0092653C" w:rsidRPr="00941012">
        <w:rPr>
          <w:rFonts w:ascii="Times New Roman" w:eastAsia="Calibri" w:hAnsi="Times New Roman" w:cs="Times New Roman"/>
          <w:sz w:val="20"/>
          <w:szCs w:val="20"/>
        </w:rPr>
        <w:t xml:space="preserve"> the cash flow statement, we start by predicting and forecasting the operating activities, then we forecast the investing activities, and lastly, we estimate the forecasted financing activities (</w:t>
      </w:r>
      <w:proofErr w:type="spellStart"/>
      <w:r w:rsidR="0092653C" w:rsidRPr="00941012">
        <w:rPr>
          <w:rFonts w:ascii="Times New Roman" w:eastAsia="Calibri" w:hAnsi="Times New Roman" w:cs="Times New Roman"/>
          <w:sz w:val="20"/>
          <w:szCs w:val="20"/>
        </w:rPr>
        <w:t>Adamowicz</w:t>
      </w:r>
      <w:proofErr w:type="spellEnd"/>
      <w:r w:rsidR="0092653C" w:rsidRPr="00941012">
        <w:rPr>
          <w:rFonts w:ascii="Times New Roman" w:eastAsia="Calibri" w:hAnsi="Times New Roman" w:cs="Times New Roman"/>
          <w:sz w:val="20"/>
          <w:szCs w:val="20"/>
        </w:rPr>
        <w:t>, 2018).</w:t>
      </w:r>
    </w:p>
    <w:p w:rsidR="00941012" w:rsidRPr="00941012" w:rsidRDefault="0092653C" w:rsidP="00941012">
      <w:pPr>
        <w:tabs>
          <w:tab w:val="left" w:pos="645"/>
        </w:tabs>
        <w:spacing w:line="240" w:lineRule="auto"/>
        <w:ind w:left="0" w:firstLine="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       </w:t>
      </w:r>
      <w:r w:rsidR="00D456F0">
        <w:rPr>
          <w:rFonts w:ascii="Times New Roman" w:eastAsia="Calibri" w:hAnsi="Times New Roman" w:cs="Times New Roman"/>
          <w:sz w:val="20"/>
          <w:szCs w:val="20"/>
        </w:rPr>
        <w:tab/>
      </w:r>
      <w:r w:rsidRPr="00941012">
        <w:rPr>
          <w:rFonts w:ascii="Times New Roman" w:eastAsia="Calibri" w:hAnsi="Times New Roman" w:cs="Times New Roman"/>
          <w:sz w:val="20"/>
          <w:szCs w:val="20"/>
        </w:rPr>
        <w:t xml:space="preserve">Adjustment of the financial statement is the first step of forecasting; we adjust the financial statements to determine the starting point. The adjustments are made on the financial statements because the existing or the current statements may not reflect the economic situation that will remain for a longer time or that will persist. The reformulated or the adjusted lines </w:t>
      </w:r>
      <w:proofErr w:type="gramStart"/>
      <w:r w:rsidRPr="00941012">
        <w:rPr>
          <w:rFonts w:ascii="Times New Roman" w:eastAsia="Calibri" w:hAnsi="Times New Roman" w:cs="Times New Roman"/>
          <w:sz w:val="20"/>
          <w:szCs w:val="20"/>
        </w:rPr>
        <w:t>items of the balance sheet and the income statement becomes</w:t>
      </w:r>
      <w:proofErr w:type="gramEnd"/>
      <w:r w:rsidRPr="00941012">
        <w:rPr>
          <w:rFonts w:ascii="Times New Roman" w:eastAsia="Calibri" w:hAnsi="Times New Roman" w:cs="Times New Roman"/>
          <w:sz w:val="20"/>
          <w:szCs w:val="20"/>
        </w:rPr>
        <w:t xml:space="preserve"> works as our starting point. In the estimation of the Future statements, we start with the forecasting of the income statement, </w:t>
      </w:r>
      <w:proofErr w:type="gramStart"/>
      <w:r w:rsidRPr="00941012">
        <w:rPr>
          <w:rFonts w:ascii="Times New Roman" w:eastAsia="Calibri" w:hAnsi="Times New Roman" w:cs="Times New Roman"/>
          <w:sz w:val="20"/>
          <w:szCs w:val="20"/>
        </w:rPr>
        <w:t>followed</w:t>
      </w:r>
      <w:proofErr w:type="gramEnd"/>
      <w:r w:rsidRPr="00941012">
        <w:rPr>
          <w:rFonts w:ascii="Times New Roman" w:eastAsia="Calibri" w:hAnsi="Times New Roman" w:cs="Times New Roman"/>
          <w:sz w:val="20"/>
          <w:szCs w:val="20"/>
        </w:rPr>
        <w:t xml:space="preserve"> by the financial position statement, and the last statement is the cash flow statement. The order must follow as each report uses the information from the previous statement. Sales or the revenue forecast is the most critical part of the process, and this is because of all the other income or balance sheet lines or entries directly or indirectly from the sales. The balance sheet and the income statement grow upwards or downwards with the income statement's increase or decrease. The income statement reflects the growth of sales directly. Still, the balance sheet detects the revenue growth in different ways, which is an increase in inventories. Others reflect the </w:t>
      </w:r>
      <w:proofErr w:type="gramStart"/>
      <w:r w:rsidRPr="00941012">
        <w:rPr>
          <w:rFonts w:ascii="Times New Roman" w:eastAsia="Calibri" w:hAnsi="Times New Roman" w:cs="Times New Roman"/>
          <w:sz w:val="20"/>
          <w:szCs w:val="20"/>
        </w:rPr>
        <w:t>growth inform</w:t>
      </w:r>
      <w:proofErr w:type="gramEnd"/>
      <w:r w:rsidRPr="00941012">
        <w:rPr>
          <w:rFonts w:ascii="Times New Roman" w:eastAsia="Calibri" w:hAnsi="Times New Roman" w:cs="Times New Roman"/>
          <w:sz w:val="20"/>
          <w:szCs w:val="20"/>
        </w:rPr>
        <w:t xml:space="preserve"> of increase in the receivables, and others reflect the change as a lag by purchase addition of the assets. </w:t>
      </w:r>
    </w:p>
    <w:p w:rsidR="00941012" w:rsidRPr="00941012" w:rsidRDefault="0092653C" w:rsidP="00941012">
      <w:pPr>
        <w:tabs>
          <w:tab w:val="left" w:pos="645"/>
        </w:tabs>
        <w:spacing w:line="240" w:lineRule="auto"/>
        <w:ind w:left="0" w:firstLine="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       </w:t>
      </w:r>
      <w:r w:rsidR="00D456F0">
        <w:rPr>
          <w:rFonts w:ascii="Times New Roman" w:eastAsia="Calibri" w:hAnsi="Times New Roman" w:cs="Times New Roman"/>
          <w:sz w:val="20"/>
          <w:szCs w:val="20"/>
        </w:rPr>
        <w:tab/>
      </w:r>
      <w:r w:rsidRPr="00941012">
        <w:rPr>
          <w:rFonts w:ascii="Times New Roman" w:eastAsia="Calibri" w:hAnsi="Times New Roman" w:cs="Times New Roman"/>
          <w:sz w:val="20"/>
          <w:szCs w:val="20"/>
        </w:rPr>
        <w:t xml:space="preserve">The forecasting process should always be consistent and show precision; with consistency, the forecasted financial statements should always be linked and connected as the historical statements are to ensure that all forecasted statements are consistent with the business's internal procedures. Forecasting sensitivity involves increasing or decreasing the assumptions used in the forecasting process. It is done to determine which assumption results in a greater impact and results. All assumptions with great impact should be well studied and investigated, for they have great effects on the business's decision-making. Forecasting of income statement begins with the estimation of the sales. The growth of sales is estimated by determining the expected growth rate of sales. Let's say that company sales are expected to grow a rate of 10%. The previous year's 2018 sales were $ 40,000. To forecast the 2019 sales, we will multiply the 2018 sales with the expected growth rate to get the intended 2019 sales. $40,000*110* = $44,000. In forecasting the sales expenses, we establish the rate at which the forecasted sales will increase the expenses. Other expenses that are one time may not be forecasted because they may not occur again. Still, the expense is forecasted from the forecasted income before tax expense for the income tax income.  </w:t>
      </w:r>
    </w:p>
    <w:p w:rsidR="00941012" w:rsidRPr="00941012" w:rsidRDefault="0092653C" w:rsidP="00941012">
      <w:pPr>
        <w:tabs>
          <w:tab w:val="left" w:pos="645"/>
        </w:tabs>
        <w:spacing w:line="240" w:lineRule="auto"/>
        <w:ind w:left="0" w:firstLine="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       </w:t>
      </w:r>
      <w:r w:rsidR="00D456F0">
        <w:rPr>
          <w:rFonts w:ascii="Times New Roman" w:eastAsia="Calibri" w:hAnsi="Times New Roman" w:cs="Times New Roman"/>
          <w:sz w:val="20"/>
          <w:szCs w:val="20"/>
        </w:rPr>
        <w:tab/>
      </w:r>
      <w:r w:rsidRPr="00941012">
        <w:rPr>
          <w:rFonts w:ascii="Times New Roman" w:eastAsia="Calibri" w:hAnsi="Times New Roman" w:cs="Times New Roman"/>
          <w:sz w:val="20"/>
          <w:szCs w:val="20"/>
        </w:rPr>
        <w:t xml:space="preserve">Statement of financial statement forecasting stars with the estimation of all the other assets but not the cash, the liabilities to </w:t>
      </w:r>
      <w:r w:rsidR="00FF45EB" w:rsidRPr="00941012">
        <w:rPr>
          <w:rFonts w:ascii="Times New Roman" w:eastAsia="Calibri" w:hAnsi="Times New Roman" w:cs="Times New Roman"/>
          <w:sz w:val="20"/>
          <w:szCs w:val="20"/>
        </w:rPr>
        <w:t>be</w:t>
      </w:r>
      <w:r w:rsidRPr="00941012">
        <w:rPr>
          <w:rFonts w:ascii="Times New Roman" w:eastAsia="Calibri" w:hAnsi="Times New Roman" w:cs="Times New Roman"/>
          <w:sz w:val="20"/>
          <w:szCs w:val="20"/>
        </w:rPr>
        <w:t xml:space="preserve"> forecasted, and the equity accounts are also estimated. </w:t>
      </w:r>
      <w:r w:rsidRPr="00BC437E">
        <w:rPr>
          <w:rFonts w:ascii="Times New Roman" w:eastAsia="Calibri" w:hAnsi="Times New Roman" w:cs="Times New Roman"/>
          <w:sz w:val="20"/>
          <w:szCs w:val="20"/>
        </w:rPr>
        <w:t>To predict the working capital, we will use a percentage of the expected forecasted sales. The forecasted sales will help us estimate the receivable accounts, the inventories, the payable account, and all liabilities that are accrued. The property plant and equipment are forecasted by increasing the existing estimated by capital expenditure and reducing the estimated forecasted depreciation results. The current and long term liabilities are foretold by assuming that all the long term liabilities will</w:t>
      </w:r>
      <w:r w:rsidRPr="00941012">
        <w:rPr>
          <w:rFonts w:ascii="Times New Roman" w:eastAsia="Calibri" w:hAnsi="Times New Roman" w:cs="Times New Roman"/>
          <w:sz w:val="20"/>
          <w:szCs w:val="20"/>
        </w:rPr>
        <w:t xml:space="preserve"> remain the same. The shareholders' equity remains the same from the previous years unless for the planned purchase of more equity. The amount recorded as the retained earnings is increased by the forecasted net income and reduced by the intended dividend payout. Balancing the forecasted balance sheet, we need to determine the cash </w:t>
      </w:r>
      <w:proofErr w:type="gramStart"/>
      <w:r w:rsidRPr="00941012">
        <w:rPr>
          <w:rFonts w:ascii="Times New Roman" w:eastAsia="Calibri" w:hAnsi="Times New Roman" w:cs="Times New Roman"/>
          <w:sz w:val="20"/>
          <w:szCs w:val="20"/>
        </w:rPr>
        <w:t>required,</w:t>
      </w:r>
      <w:proofErr w:type="gramEnd"/>
      <w:r w:rsidRPr="00941012">
        <w:rPr>
          <w:rFonts w:ascii="Times New Roman" w:eastAsia="Calibri" w:hAnsi="Times New Roman" w:cs="Times New Roman"/>
          <w:sz w:val="20"/>
          <w:szCs w:val="20"/>
        </w:rPr>
        <w:t xml:space="preserve"> the plug amount. The working capital is estimated by the aid of the historical working capital. The process of forecasting for multiple years is always the same as forecasting for a single year. The numerous years forecasting assist the business managers in the budgeting process, planning for all capital expenditure, and making other decisions such as the mergers and acquisition of other companies.  Each forecasted statement's accuracy depends on the accuracy of the financial assumptions (Franke, 2019). </w:t>
      </w:r>
    </w:p>
    <w:p w:rsidR="00941012" w:rsidRPr="00941012" w:rsidRDefault="0092653C" w:rsidP="00941012">
      <w:pPr>
        <w:tabs>
          <w:tab w:val="left" w:pos="645"/>
        </w:tabs>
        <w:spacing w:line="240" w:lineRule="auto"/>
        <w:ind w:left="0" w:firstLine="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       </w:t>
      </w:r>
      <w:r w:rsidR="00D456F0">
        <w:rPr>
          <w:rFonts w:ascii="Times New Roman" w:eastAsia="Calibri" w:hAnsi="Times New Roman" w:cs="Times New Roman"/>
          <w:sz w:val="20"/>
          <w:szCs w:val="20"/>
        </w:rPr>
        <w:tab/>
      </w:r>
      <w:r w:rsidRPr="00941012">
        <w:rPr>
          <w:rFonts w:ascii="Times New Roman" w:eastAsia="Calibri" w:hAnsi="Times New Roman" w:cs="Times New Roman"/>
          <w:sz w:val="20"/>
          <w:szCs w:val="20"/>
        </w:rPr>
        <w:t xml:space="preserve">The forecasting of cash flow statement is essential as it assists the management in the decision-making process that involves. The forecasted cash flow aids the decision that consists of controlling and planning, </w:t>
      </w:r>
      <w:r w:rsidRPr="00941012">
        <w:rPr>
          <w:rFonts w:ascii="Times New Roman" w:eastAsia="Calibri" w:hAnsi="Times New Roman" w:cs="Times New Roman"/>
          <w:sz w:val="20"/>
          <w:szCs w:val="20"/>
        </w:rPr>
        <w:lastRenderedPageBreak/>
        <w:t xml:space="preserve">management of cash, operating budget to be adopted, and the capital budgeting decisions. The statement of cash-flow is forecasted by using the forecasted income statement ant the balance sheet. The management can consider different factors that affect the organizations' performance. The business management can discuss the product sales or the business, the performance of each segment, organizations margins and accounting pronouncements of the company that is the changes in the accounting principles. The forecasted financial statements are used as tools that communicate the financial health of the business. They are used to enforce positive changes in the organization; the reports also give or provide the shareholders with the organizations' ratio that helps investors evaluate the business to make sound and informed financial decisions. The owners can assess and evaluate the financial strength and weakness; this aids in the mitigation of the weak points and aids in charting the business's way forward. Ensuring well maintained accurate financial reports is vital to any business as this information is used in so many business management processes. Through the financial statements, forecasting of business revenue is done; evaluation of the business financial soundness is also done by computing the financial ratios. </w:t>
      </w:r>
    </w:p>
    <w:p w:rsidR="00941012" w:rsidRPr="00941012" w:rsidRDefault="0092653C" w:rsidP="00941012">
      <w:pPr>
        <w:tabs>
          <w:tab w:val="left" w:pos="645"/>
        </w:tabs>
        <w:spacing w:line="240" w:lineRule="auto"/>
        <w:ind w:left="0" w:firstLine="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 </w:t>
      </w:r>
    </w:p>
    <w:p w:rsidR="00941012" w:rsidRPr="00941012" w:rsidRDefault="0092653C" w:rsidP="00D456F0">
      <w:pPr>
        <w:tabs>
          <w:tab w:val="left" w:pos="645"/>
        </w:tabs>
        <w:spacing w:line="240" w:lineRule="auto"/>
        <w:ind w:left="0" w:firstLine="0"/>
        <w:jc w:val="center"/>
        <w:rPr>
          <w:rFonts w:ascii="Times New Roman" w:eastAsia="Calibri" w:hAnsi="Times New Roman" w:cs="Times New Roman"/>
          <w:b/>
          <w:sz w:val="20"/>
          <w:szCs w:val="20"/>
        </w:rPr>
      </w:pPr>
      <w:r w:rsidRPr="00941012">
        <w:rPr>
          <w:rFonts w:ascii="Times New Roman" w:eastAsia="Calibri" w:hAnsi="Times New Roman" w:cs="Times New Roman"/>
          <w:b/>
          <w:sz w:val="20"/>
          <w:szCs w:val="20"/>
        </w:rPr>
        <w:t>Part 2</w:t>
      </w:r>
    </w:p>
    <w:p w:rsidR="00941012" w:rsidRPr="00941012" w:rsidRDefault="0092653C" w:rsidP="00941012">
      <w:pPr>
        <w:tabs>
          <w:tab w:val="left" w:pos="645"/>
        </w:tabs>
        <w:spacing w:line="240" w:lineRule="auto"/>
        <w:ind w:left="0" w:firstLine="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   </w:t>
      </w:r>
    </w:p>
    <w:p w:rsidR="00941012" w:rsidRPr="00941012" w:rsidRDefault="0092653C" w:rsidP="00941012">
      <w:pPr>
        <w:tabs>
          <w:tab w:val="left" w:pos="645"/>
        </w:tabs>
        <w:spacing w:line="240" w:lineRule="auto"/>
        <w:ind w:left="0" w:firstLine="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   </w:t>
      </w:r>
      <w:r w:rsidR="00D456F0">
        <w:rPr>
          <w:rFonts w:ascii="Times New Roman" w:eastAsia="Calibri" w:hAnsi="Times New Roman" w:cs="Times New Roman"/>
          <w:sz w:val="20"/>
          <w:szCs w:val="20"/>
        </w:rPr>
        <w:tab/>
      </w:r>
      <w:r w:rsidRPr="00941012">
        <w:rPr>
          <w:rFonts w:ascii="Times New Roman" w:eastAsia="Calibri" w:hAnsi="Times New Roman" w:cs="Times New Roman"/>
          <w:sz w:val="20"/>
          <w:szCs w:val="20"/>
        </w:rPr>
        <w:t>Through forecasting, the Boeing Company can prepare for the expected growth in the demand for aircraft. They can segment the market and understand which side of the market is expected to grow, the growth expected in the defense, travel, or the service markets. After establishing this, the Boeing Company can forecast its expected revenues. The firm's gains can be signified by first predicting the firm's expenses for the period under consideration. The business's most common costs and the day-to-day operating costs are indicated first against the intended sales or revenue growth. Examples of fixed and overhead costs that the company can forecast are rent, utility bills, postage, advertising, marketing, and salaries. The valuable costs such as the cost of goods sold, packaging costs, material costs, direct labor costs, direct marketing costs, and direct sales can be forecasted. When forecasting the expenses, the management should always provide for double estimates on the advertising and the marketing cost for they grow and sky rocked at a very first-rate. The insurance fees and licensee's</w:t>
      </w:r>
      <w:r w:rsidRPr="00941012">
        <w:rPr>
          <w:rFonts w:ascii="Times New Roman" w:eastAsia="Calibri" w:hAnsi="Times New Roman" w:cs="Times New Roman" w:hint="eastAsia"/>
          <w:sz w:val="20"/>
          <w:szCs w:val="20"/>
        </w:rPr>
        <w:t xml:space="preserve"> </w:t>
      </w:r>
      <w:r w:rsidRPr="00941012">
        <w:rPr>
          <w:rFonts w:ascii="Times New Roman" w:eastAsia="Calibri" w:hAnsi="Times New Roman" w:cs="Times New Roman"/>
          <w:sz w:val="20"/>
          <w:szCs w:val="20"/>
        </w:rPr>
        <w:t>price should be tripled, for they are quite hard to predict. The direct labor should always be tracked to maintain it at manageable levels.  After estimating future expenses, Boing can go ahead and forecast the sales of the organization. The company should first concentrate on and identify its current and existing customers. The rule is that the organization will get up to 80% of the business sales from its 20% existing customers. The company gets this information from the historical sales data of the organization. The deals are that the business wants to expand, and the cover is another consideration to put in mind when it comes to the revenue projections. The new areas to be covered are crucial as it explains the physical spaces that the business intends to protect and increase its sales revenue. Forecasting of the shareholders' equity part by managing the will or the help of the business management in understanding how much capital is required to fund the expected or estimated growth in sales (</w:t>
      </w:r>
      <w:proofErr w:type="spellStart"/>
      <w:r w:rsidRPr="00941012">
        <w:rPr>
          <w:rFonts w:ascii="Times New Roman" w:eastAsia="Calibri" w:hAnsi="Times New Roman" w:cs="Times New Roman"/>
          <w:sz w:val="20"/>
          <w:szCs w:val="20"/>
        </w:rPr>
        <w:t>Ittner</w:t>
      </w:r>
      <w:proofErr w:type="spellEnd"/>
      <w:r w:rsidRPr="00941012">
        <w:rPr>
          <w:rFonts w:ascii="Times New Roman" w:eastAsia="Calibri" w:hAnsi="Times New Roman" w:cs="Times New Roman"/>
          <w:sz w:val="20"/>
          <w:szCs w:val="20"/>
        </w:rPr>
        <w:t xml:space="preserve"> &amp; </w:t>
      </w:r>
      <w:proofErr w:type="spellStart"/>
      <w:r w:rsidRPr="00941012">
        <w:rPr>
          <w:rFonts w:ascii="Times New Roman" w:eastAsia="Calibri" w:hAnsi="Times New Roman" w:cs="Times New Roman"/>
          <w:sz w:val="20"/>
          <w:szCs w:val="20"/>
        </w:rPr>
        <w:t>Michels</w:t>
      </w:r>
      <w:proofErr w:type="spellEnd"/>
      <w:r w:rsidRPr="00941012">
        <w:rPr>
          <w:rFonts w:ascii="Times New Roman" w:eastAsia="Calibri" w:hAnsi="Times New Roman" w:cs="Times New Roman"/>
          <w:sz w:val="20"/>
          <w:szCs w:val="20"/>
        </w:rPr>
        <w:t>, 2017).</w:t>
      </w:r>
    </w:p>
    <w:p w:rsidR="00BC6F73" w:rsidRDefault="0092653C" w:rsidP="00941012">
      <w:pPr>
        <w:tabs>
          <w:tab w:val="left" w:pos="645"/>
        </w:tabs>
        <w:spacing w:line="240" w:lineRule="auto"/>
        <w:ind w:left="0" w:firstLine="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         The physical market should analyze the need to understand the market state's conditions and grow and sustain sales. In this case, they should be keen to know whether the sales will remain stable, expand, or start moving and falling. Business management should also consider that the business works and performs its activities within an industry. The company should consider its position within the industry to factor all its growth expectations within its operational environment. Adjustment to the season is another factor to consider when forecasting the business revenues because the business seasons affect the business sales revenues. After considering all the above elements that affect the business, we can now consider calculating its sales revenues. In our case, the Boeing management can forecast the sales; from the forecasted sales, we can get the predicted sales cost, and then we can reduce the cost of from the forecasted sales revenue. The difference between them is the forecasted revenue of the business. Forecasting helps the management in preparation for the future of the company. The organizations' command can consider different factors that affect the organizations' performance. The business management can discuss the product sales or the business, each segment's performance, organization margins, and accounting pronouncements of the place that is the accounting principles' changes. The Boeing company management can discuss the business risks that it may face in the future. Forecasting has enabled the Boeing to understand which of its market will grow and how much the organization expects from that market as an income; this will help the management in keeping track of the organizations' performance against the forecasted statements.</w:t>
      </w: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941012" w:rsidRDefault="0092653C" w:rsidP="00941012">
      <w:pPr>
        <w:tabs>
          <w:tab w:val="left" w:pos="645"/>
        </w:tabs>
        <w:spacing w:line="240" w:lineRule="auto"/>
        <w:ind w:left="0" w:firstLine="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  </w:t>
      </w:r>
    </w:p>
    <w:p w:rsidR="00BC6F73" w:rsidRPr="00AC0FE7" w:rsidRDefault="00BC6F73" w:rsidP="00AC0FE7">
      <w:pPr>
        <w:tabs>
          <w:tab w:val="left" w:pos="645"/>
        </w:tabs>
        <w:spacing w:line="240" w:lineRule="auto"/>
        <w:ind w:left="0" w:firstLine="0"/>
        <w:rPr>
          <w:rFonts w:ascii="Times New Roman" w:eastAsia="Calibri" w:hAnsi="Times New Roman" w:cs="Times New Roman"/>
          <w:b/>
          <w:sz w:val="20"/>
          <w:szCs w:val="20"/>
        </w:rPr>
      </w:pPr>
    </w:p>
    <w:p w:rsidR="00BC6F73" w:rsidRPr="00D456F0" w:rsidRDefault="00BC6F73" w:rsidP="00D456F0">
      <w:pPr>
        <w:tabs>
          <w:tab w:val="left" w:pos="645"/>
        </w:tabs>
        <w:spacing w:line="240" w:lineRule="auto"/>
        <w:ind w:left="0" w:firstLine="0"/>
        <w:jc w:val="center"/>
        <w:rPr>
          <w:rFonts w:ascii="Times New Roman" w:eastAsia="Calibri" w:hAnsi="Times New Roman" w:cs="Times New Roman"/>
          <w:b/>
          <w:sz w:val="20"/>
          <w:szCs w:val="20"/>
        </w:rPr>
      </w:pPr>
      <w:r w:rsidRPr="00D456F0">
        <w:rPr>
          <w:rFonts w:ascii="Times New Roman" w:eastAsia="Calibri" w:hAnsi="Times New Roman" w:cs="Times New Roman"/>
          <w:b/>
          <w:sz w:val="20"/>
          <w:szCs w:val="20"/>
        </w:rPr>
        <w:lastRenderedPageBreak/>
        <w:t>Part 3</w:t>
      </w:r>
    </w:p>
    <w:p w:rsidR="00BC6F73" w:rsidRPr="00E16642" w:rsidRDefault="00BC6F73" w:rsidP="00E16642">
      <w:pPr>
        <w:pStyle w:val="ListParagraph"/>
        <w:numPr>
          <w:ilvl w:val="0"/>
          <w:numId w:val="1"/>
        </w:numPr>
        <w:tabs>
          <w:tab w:val="left" w:pos="645"/>
        </w:tabs>
        <w:spacing w:line="240" w:lineRule="auto"/>
        <w:rPr>
          <w:rFonts w:ascii="Times New Roman" w:eastAsia="Calibri" w:hAnsi="Times New Roman" w:cs="Times New Roman"/>
          <w:b/>
          <w:sz w:val="20"/>
          <w:szCs w:val="20"/>
        </w:rPr>
      </w:pPr>
      <w:r w:rsidRPr="00BC6F73">
        <w:rPr>
          <w:rFonts w:ascii="Times New Roman" w:eastAsia="Calibri" w:hAnsi="Times New Roman" w:cs="Times New Roman"/>
          <w:b/>
          <w:sz w:val="20"/>
          <w:szCs w:val="20"/>
        </w:rPr>
        <w:t>How you should forecast revenues for your firm?</w:t>
      </w:r>
    </w:p>
    <w:p w:rsidR="00BC6F73" w:rsidRPr="00BC6F73" w:rsidRDefault="00BC6F73" w:rsidP="00BC6F73">
      <w:pPr>
        <w:tabs>
          <w:tab w:val="left" w:pos="645"/>
        </w:tabs>
        <w:spacing w:line="240" w:lineRule="auto"/>
        <w:ind w:left="0" w:firstLine="0"/>
        <w:rPr>
          <w:rFonts w:ascii="Times New Roman" w:eastAsia="Calibri" w:hAnsi="Times New Roman" w:cs="Times New Roman"/>
          <w:sz w:val="20"/>
          <w:szCs w:val="20"/>
          <w:lang w:val="en-GB"/>
        </w:rPr>
      </w:pPr>
      <w:r w:rsidRPr="00BC6F73">
        <w:rPr>
          <w:rFonts w:ascii="Times New Roman" w:eastAsia="Calibri" w:hAnsi="Times New Roman" w:cs="Times New Roman"/>
          <w:sz w:val="20"/>
          <w:szCs w:val="20"/>
          <w:lang w:val="en-GB"/>
        </w:rPr>
        <w:t xml:space="preserve">        </w:t>
      </w:r>
      <w:r w:rsidR="00D456F0">
        <w:rPr>
          <w:rFonts w:ascii="Times New Roman" w:eastAsia="Calibri" w:hAnsi="Times New Roman" w:cs="Times New Roman"/>
          <w:sz w:val="20"/>
          <w:szCs w:val="20"/>
          <w:lang w:val="en-GB"/>
        </w:rPr>
        <w:tab/>
      </w:r>
      <w:r w:rsidRPr="00BC6F73">
        <w:rPr>
          <w:rFonts w:ascii="Times New Roman" w:eastAsia="Calibri" w:hAnsi="Times New Roman" w:cs="Times New Roman"/>
          <w:sz w:val="20"/>
          <w:szCs w:val="20"/>
          <w:lang w:val="en-GB"/>
        </w:rPr>
        <w:t xml:space="preserve">The management can also forecast the revenues buy studding the organizations' revenues growth patterns, that is, the growth rates from one year to another. The historical figures will help us understand the growth trends of the business. The Boeing revenue for 2017 is $ 94,005, and the revenue for 2018 is $ 101,127; the growth rate is (101,127-94,005)/94,005, which gives us the growth rate of 7.58%. To focus the sales in the following, we will take the growth rate of 7.58% and multiply it with the 2018 revenue, 7.58% *101,127. </w:t>
      </w:r>
    </w:p>
    <w:p w:rsidR="00BC6F73" w:rsidRPr="00BC6F73" w:rsidRDefault="00BC6F73" w:rsidP="00BC6F73">
      <w:pPr>
        <w:tabs>
          <w:tab w:val="left" w:pos="645"/>
        </w:tabs>
        <w:spacing w:line="240" w:lineRule="auto"/>
        <w:ind w:left="0" w:firstLine="0"/>
        <w:rPr>
          <w:rFonts w:ascii="Times New Roman" w:eastAsia="Calibri" w:hAnsi="Times New Roman" w:cs="Times New Roman"/>
          <w:sz w:val="20"/>
          <w:szCs w:val="20"/>
          <w:lang w:val="en-GB"/>
        </w:rPr>
      </w:pPr>
      <w:r w:rsidRPr="00BC6F73">
        <w:rPr>
          <w:rFonts w:ascii="Times New Roman" w:eastAsia="Calibri" w:hAnsi="Times New Roman" w:cs="Times New Roman"/>
          <w:sz w:val="20"/>
          <w:szCs w:val="20"/>
          <w:lang w:val="en-GB"/>
        </w:rPr>
        <w:t>The growth in the revenues will be $7,665, and the total forecasted revenues for 2019 will be $ 108,792.</w:t>
      </w:r>
    </w:p>
    <w:p w:rsidR="00BC6F73" w:rsidRPr="00BC6F73" w:rsidRDefault="00BC6F73" w:rsidP="00BC6F73">
      <w:pPr>
        <w:tabs>
          <w:tab w:val="left" w:pos="645"/>
        </w:tabs>
        <w:spacing w:line="240" w:lineRule="auto"/>
        <w:ind w:left="0" w:firstLine="0"/>
        <w:rPr>
          <w:rFonts w:ascii="Times New Roman" w:eastAsia="Calibri" w:hAnsi="Times New Roman" w:cs="Times New Roman"/>
          <w:b/>
          <w:sz w:val="20"/>
          <w:szCs w:val="20"/>
        </w:rPr>
      </w:pPr>
      <w:r w:rsidRPr="00BC6F73">
        <w:rPr>
          <w:rFonts w:ascii="Times New Roman" w:eastAsia="Calibri" w:hAnsi="Times New Roman" w:cs="Times New Roman"/>
          <w:b/>
          <w:sz w:val="20"/>
          <w:szCs w:val="20"/>
        </w:rPr>
        <w:t>2) Given the sales forecast and costs, how should you forecast your firm's working capital?</w:t>
      </w:r>
    </w:p>
    <w:p w:rsidR="00BC6F73" w:rsidRPr="00BC6F73" w:rsidRDefault="00BC6F73" w:rsidP="00BC6F73">
      <w:pPr>
        <w:tabs>
          <w:tab w:val="left" w:pos="645"/>
        </w:tabs>
        <w:spacing w:line="240" w:lineRule="auto"/>
        <w:ind w:left="0" w:firstLine="0"/>
        <w:rPr>
          <w:rFonts w:ascii="Times New Roman" w:eastAsia="Calibri" w:hAnsi="Times New Roman" w:cs="Times New Roman"/>
          <w:sz w:val="20"/>
          <w:szCs w:val="20"/>
        </w:rPr>
      </w:pPr>
      <w:r w:rsidRPr="00BC6F73">
        <w:rPr>
          <w:rFonts w:ascii="Times New Roman" w:eastAsia="Calibri" w:hAnsi="Times New Roman" w:cs="Times New Roman"/>
          <w:sz w:val="20"/>
          <w:szCs w:val="20"/>
        </w:rPr>
        <w:t xml:space="preserve">     </w:t>
      </w:r>
      <w:r w:rsidR="00D456F0">
        <w:rPr>
          <w:rFonts w:ascii="Times New Roman" w:eastAsia="Calibri" w:hAnsi="Times New Roman" w:cs="Times New Roman"/>
          <w:sz w:val="20"/>
          <w:szCs w:val="20"/>
        </w:rPr>
        <w:tab/>
      </w:r>
      <w:r w:rsidRPr="00BC6F73">
        <w:rPr>
          <w:rFonts w:ascii="Times New Roman" w:eastAsia="Calibri" w:hAnsi="Times New Roman" w:cs="Times New Roman"/>
          <w:sz w:val="20"/>
          <w:szCs w:val="20"/>
        </w:rPr>
        <w:t>Working capital helps us understand how much of every dollar or the potion of every dollar made by an organization should be used to pay for the operations and the short term obligations. Working capital, therefore, it is the percentage of sales that is used to pay for day to day operations cost and short term liabilities. The relationship between the organizations working capital and the sales is calculated for some time to compare it. In our case of Boeing, the relationship is around 40%. From the sales of $ 500, 40% will be the working capital. Which is calculated as 0.4*500 = $200. That means that $ 200 will be the cost of $ 500 sales.</w:t>
      </w:r>
    </w:p>
    <w:p w:rsidR="008B6CF7" w:rsidRPr="00AC0FE7" w:rsidRDefault="00BC6F73" w:rsidP="008B6CF7">
      <w:pPr>
        <w:tabs>
          <w:tab w:val="left" w:pos="645"/>
        </w:tabs>
        <w:spacing w:line="240" w:lineRule="auto"/>
        <w:ind w:left="0" w:firstLine="0"/>
        <w:rPr>
          <w:rFonts w:ascii="Times New Roman" w:eastAsia="Calibri" w:hAnsi="Times New Roman" w:cs="Times New Roman"/>
          <w:b/>
          <w:sz w:val="20"/>
          <w:szCs w:val="20"/>
        </w:rPr>
      </w:pPr>
      <w:r w:rsidRPr="00BC6F73">
        <w:rPr>
          <w:rFonts w:ascii="Times New Roman" w:eastAsia="Calibri" w:hAnsi="Times New Roman" w:cs="Times New Roman"/>
          <w:b/>
          <w:sz w:val="20"/>
          <w:szCs w:val="20"/>
        </w:rPr>
        <w:t>3) Giving the operation forecasting and the networking capital, how you should forecast fixed assets and be liabilities?</w:t>
      </w:r>
      <w:r w:rsidRPr="00BC6F73">
        <w:rPr>
          <w:rFonts w:ascii="Times New Roman" w:eastAsia="Calibri" w:hAnsi="Times New Roman" w:cs="Times New Roman"/>
          <w:sz w:val="20"/>
          <w:szCs w:val="20"/>
        </w:rPr>
        <w:t xml:space="preserve">      </w:t>
      </w:r>
    </w:p>
    <w:p w:rsidR="008B6CF7" w:rsidRPr="008B6CF7" w:rsidRDefault="008B6CF7" w:rsidP="008B6CF7">
      <w:pPr>
        <w:tabs>
          <w:tab w:val="left" w:pos="645"/>
        </w:tabs>
        <w:spacing w:line="240" w:lineRule="auto"/>
        <w:ind w:left="0" w:firstLine="0"/>
        <w:rPr>
          <w:rFonts w:ascii="Times New Roman" w:eastAsia="Calibri" w:hAnsi="Times New Roman" w:cs="Times New Roman"/>
          <w:sz w:val="20"/>
          <w:szCs w:val="20"/>
        </w:rPr>
      </w:pPr>
      <w:r>
        <w:rPr>
          <w:rFonts w:ascii="Times New Roman" w:eastAsia="Calibri" w:hAnsi="Times New Roman" w:cs="Times New Roman"/>
          <w:sz w:val="20"/>
          <w:szCs w:val="20"/>
          <w:lang w:val="en-GB"/>
        </w:rPr>
        <w:t xml:space="preserve">    </w:t>
      </w:r>
      <w:r w:rsidR="00D456F0">
        <w:rPr>
          <w:rFonts w:ascii="Times New Roman" w:eastAsia="Calibri" w:hAnsi="Times New Roman" w:cs="Times New Roman"/>
          <w:sz w:val="20"/>
          <w:szCs w:val="20"/>
          <w:lang w:val="en-GB"/>
        </w:rPr>
        <w:tab/>
      </w:r>
      <w:bookmarkStart w:id="0" w:name="_GoBack"/>
      <w:bookmarkEnd w:id="0"/>
      <w:r w:rsidRPr="008B6CF7">
        <w:rPr>
          <w:rFonts w:ascii="Times New Roman" w:eastAsia="Calibri" w:hAnsi="Times New Roman" w:cs="Times New Roman"/>
          <w:sz w:val="20"/>
          <w:szCs w:val="20"/>
        </w:rPr>
        <w:t>To predict the working capital, we will use a percentage of the expected forecasted sales. The forecasted sales will help us estimate the receivable accounts, the inventories, the payable account, and all liabilities that are accrued. The property plant and equipment are forecasted by increasing the existing estimated by capital expenditure and reducing the estimated forecasted depreciation results.</w:t>
      </w:r>
      <w:r>
        <w:rPr>
          <w:rFonts w:ascii="Times New Roman" w:eastAsia="Calibri" w:hAnsi="Times New Roman" w:cs="Times New Roman"/>
          <w:sz w:val="20"/>
          <w:szCs w:val="20"/>
        </w:rPr>
        <w:t xml:space="preserve"> </w:t>
      </w:r>
      <w:r w:rsidR="00AC0FE7">
        <w:rPr>
          <w:rFonts w:ascii="Times New Roman" w:eastAsia="Calibri" w:hAnsi="Times New Roman" w:cs="Times New Roman"/>
          <w:sz w:val="20"/>
          <w:szCs w:val="20"/>
        </w:rPr>
        <w:t>W</w:t>
      </w:r>
      <w:r w:rsidRPr="008B6CF7">
        <w:rPr>
          <w:rFonts w:ascii="Times New Roman" w:eastAsia="Calibri" w:hAnsi="Times New Roman" w:cs="Times New Roman"/>
          <w:sz w:val="20"/>
          <w:szCs w:val="20"/>
        </w:rPr>
        <w:t>e will use a percentage of the expected forecasted sales. The forecasted sales will help us estimate the receivable accounts, the inventories, the payable account, and all liabilities that are accrued. The property plant and equipment are forecasted by increasing the existing estimated by capital expenditure and reducing the estimated forecasted depreciation results.</w:t>
      </w:r>
    </w:p>
    <w:p w:rsidR="00BC6F73" w:rsidRPr="00BC6F73" w:rsidRDefault="00BC6F73" w:rsidP="00BC6F73">
      <w:pPr>
        <w:tabs>
          <w:tab w:val="left" w:pos="645"/>
        </w:tabs>
        <w:spacing w:line="240" w:lineRule="auto"/>
        <w:ind w:left="0" w:firstLine="0"/>
        <w:rPr>
          <w:rFonts w:ascii="Times New Roman" w:eastAsia="Calibri" w:hAnsi="Times New Roman" w:cs="Times New Roman"/>
          <w:sz w:val="20"/>
          <w:szCs w:val="20"/>
        </w:rPr>
      </w:pPr>
      <w:r w:rsidRPr="00BC6F73">
        <w:rPr>
          <w:rFonts w:ascii="Times New Roman" w:eastAsia="Calibri" w:hAnsi="Times New Roman" w:cs="Times New Roman"/>
          <w:sz w:val="20"/>
          <w:szCs w:val="20"/>
        </w:rPr>
        <w:t>To forecast the fixed assets, we first deduct the buildings from the fixed assets to be forecasted from the property plant and equipment. The closing balance will be equal to the opening balance add expenditure on purchased items less the depreciation expense. On the liabilities, they are forecasted by using the liabilities or the debts schedule. The schedule classifies the borrowing and classifies the interest expense to each liability (</w:t>
      </w:r>
      <w:proofErr w:type="spellStart"/>
      <w:r w:rsidRPr="00BC6F73">
        <w:rPr>
          <w:rFonts w:ascii="Times New Roman" w:eastAsia="Calibri" w:hAnsi="Times New Roman" w:cs="Times New Roman"/>
          <w:sz w:val="20"/>
          <w:szCs w:val="20"/>
          <w:lang w:val="en-GB"/>
        </w:rPr>
        <w:t>Adamowicz</w:t>
      </w:r>
      <w:proofErr w:type="spellEnd"/>
      <w:r w:rsidRPr="00BC6F73">
        <w:rPr>
          <w:rFonts w:ascii="Times New Roman" w:eastAsia="Calibri" w:hAnsi="Times New Roman" w:cs="Times New Roman"/>
          <w:sz w:val="20"/>
          <w:szCs w:val="20"/>
          <w:lang w:val="en-GB"/>
        </w:rPr>
        <w:t>, 2018).</w:t>
      </w:r>
      <w:r w:rsidR="008B6CF7" w:rsidRPr="008B6CF7">
        <w:rPr>
          <w:rFonts w:ascii="Times New Roman" w:eastAsia="Calibri" w:hAnsi="Times New Roman" w:cs="Times New Roman"/>
          <w:sz w:val="20"/>
          <w:szCs w:val="20"/>
          <w:highlight w:val="yellow"/>
        </w:rPr>
        <w:t xml:space="preserve"> </w:t>
      </w:r>
    </w:p>
    <w:p w:rsidR="00941012" w:rsidRDefault="00941012" w:rsidP="00941012">
      <w:pPr>
        <w:tabs>
          <w:tab w:val="left" w:pos="645"/>
        </w:tabs>
        <w:spacing w:line="240" w:lineRule="auto"/>
        <w:ind w:left="0" w:firstLine="0"/>
        <w:rPr>
          <w:rFonts w:ascii="Times New Roman" w:eastAsia="Calibri" w:hAnsi="Times New Roman" w:cs="Times New Roman"/>
          <w:sz w:val="20"/>
          <w:szCs w:val="20"/>
        </w:rPr>
      </w:pPr>
    </w:p>
    <w:p w:rsidR="00FF45EB" w:rsidRDefault="00FF45EB" w:rsidP="00941012">
      <w:pPr>
        <w:tabs>
          <w:tab w:val="left" w:pos="645"/>
        </w:tabs>
        <w:spacing w:line="240" w:lineRule="auto"/>
        <w:ind w:left="0" w:firstLine="0"/>
        <w:rPr>
          <w:rFonts w:ascii="Times New Roman" w:eastAsia="Calibri" w:hAnsi="Times New Roman" w:cs="Times New Roman"/>
          <w:sz w:val="20"/>
          <w:szCs w:val="20"/>
        </w:rPr>
      </w:pPr>
    </w:p>
    <w:p w:rsidR="00FF45EB" w:rsidRDefault="00FF45EB" w:rsidP="00941012">
      <w:pPr>
        <w:tabs>
          <w:tab w:val="left" w:pos="645"/>
        </w:tabs>
        <w:spacing w:line="240" w:lineRule="auto"/>
        <w:ind w:left="0" w:firstLine="0"/>
        <w:rPr>
          <w:rFonts w:ascii="Times New Roman" w:eastAsia="Calibri" w:hAnsi="Times New Roman" w:cs="Times New Roman"/>
          <w:sz w:val="20"/>
          <w:szCs w:val="20"/>
        </w:rPr>
      </w:pPr>
    </w:p>
    <w:p w:rsidR="00FF45EB" w:rsidRPr="00941012" w:rsidRDefault="00FF45EB" w:rsidP="00941012">
      <w:pPr>
        <w:tabs>
          <w:tab w:val="left" w:pos="645"/>
        </w:tabs>
        <w:spacing w:line="240" w:lineRule="auto"/>
        <w:ind w:left="0" w:firstLine="0"/>
        <w:rPr>
          <w:rFonts w:ascii="Times New Roman" w:eastAsia="Calibri" w:hAnsi="Times New Roman" w:cs="Times New Roman"/>
          <w:sz w:val="20"/>
          <w:szCs w:val="20"/>
        </w:rPr>
      </w:pPr>
    </w:p>
    <w:p w:rsidR="00941012" w:rsidRPr="00941012" w:rsidRDefault="00941012" w:rsidP="00941012">
      <w:pPr>
        <w:tabs>
          <w:tab w:val="left" w:pos="645"/>
        </w:tabs>
        <w:spacing w:line="240" w:lineRule="auto"/>
        <w:ind w:left="0" w:firstLine="0"/>
        <w:rPr>
          <w:rFonts w:ascii="Times New Roman" w:eastAsia="Calibri" w:hAnsi="Times New Roman" w:cs="Times New Roman"/>
          <w:sz w:val="20"/>
          <w:szCs w:val="20"/>
        </w:rPr>
      </w:pPr>
    </w:p>
    <w:p w:rsidR="00941012" w:rsidRDefault="00941012"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BC6F73" w:rsidRDefault="00BC6F73" w:rsidP="00941012">
      <w:pPr>
        <w:tabs>
          <w:tab w:val="left" w:pos="645"/>
        </w:tabs>
        <w:spacing w:line="240" w:lineRule="auto"/>
        <w:ind w:left="0" w:firstLine="0"/>
        <w:rPr>
          <w:rFonts w:ascii="Times New Roman" w:eastAsia="Calibri" w:hAnsi="Times New Roman" w:cs="Times New Roman"/>
          <w:sz w:val="20"/>
          <w:szCs w:val="20"/>
        </w:rPr>
      </w:pPr>
    </w:p>
    <w:p w:rsidR="00C82246" w:rsidRDefault="00C82246" w:rsidP="00C82246">
      <w:pPr>
        <w:tabs>
          <w:tab w:val="left" w:pos="645"/>
        </w:tabs>
        <w:spacing w:line="240" w:lineRule="auto"/>
        <w:ind w:left="0" w:firstLine="0"/>
        <w:rPr>
          <w:rFonts w:ascii="Times New Roman" w:eastAsia="Calibri" w:hAnsi="Times New Roman" w:cs="Times New Roman"/>
          <w:sz w:val="20"/>
          <w:szCs w:val="20"/>
        </w:rPr>
      </w:pPr>
    </w:p>
    <w:p w:rsidR="00941012" w:rsidRPr="00941012" w:rsidRDefault="0092653C" w:rsidP="00C82246">
      <w:pPr>
        <w:tabs>
          <w:tab w:val="left" w:pos="645"/>
        </w:tabs>
        <w:spacing w:line="240" w:lineRule="auto"/>
        <w:ind w:left="0" w:firstLine="0"/>
        <w:jc w:val="center"/>
        <w:rPr>
          <w:rFonts w:ascii="Times New Roman" w:eastAsia="Calibri" w:hAnsi="Times New Roman" w:cs="Times New Roman"/>
          <w:b/>
          <w:sz w:val="20"/>
          <w:szCs w:val="20"/>
        </w:rPr>
      </w:pPr>
      <w:r w:rsidRPr="00941012">
        <w:rPr>
          <w:rFonts w:ascii="Times New Roman" w:eastAsia="Calibri" w:hAnsi="Times New Roman" w:cs="Times New Roman"/>
          <w:b/>
          <w:sz w:val="20"/>
          <w:szCs w:val="20"/>
        </w:rPr>
        <w:lastRenderedPageBreak/>
        <w:t>References</w:t>
      </w:r>
    </w:p>
    <w:p w:rsidR="00941012" w:rsidRPr="00941012" w:rsidRDefault="0092653C" w:rsidP="00C82246">
      <w:pPr>
        <w:tabs>
          <w:tab w:val="left" w:pos="645"/>
        </w:tabs>
        <w:spacing w:line="240" w:lineRule="auto"/>
        <w:ind w:left="720" w:hanging="720"/>
        <w:rPr>
          <w:rFonts w:ascii="Times New Roman" w:eastAsia="Calibri" w:hAnsi="Times New Roman" w:cs="Times New Roman"/>
          <w:sz w:val="20"/>
          <w:szCs w:val="20"/>
        </w:rPr>
      </w:pPr>
      <w:proofErr w:type="spellStart"/>
      <w:proofErr w:type="gramStart"/>
      <w:r w:rsidRPr="00941012">
        <w:rPr>
          <w:rFonts w:ascii="Times New Roman" w:eastAsia="Calibri" w:hAnsi="Times New Roman" w:cs="Times New Roman"/>
          <w:sz w:val="20"/>
          <w:szCs w:val="20"/>
        </w:rPr>
        <w:t>Adamowicz</w:t>
      </w:r>
      <w:proofErr w:type="spellEnd"/>
      <w:r w:rsidRPr="00941012">
        <w:rPr>
          <w:rFonts w:ascii="Times New Roman" w:eastAsia="Calibri" w:hAnsi="Times New Roman" w:cs="Times New Roman"/>
          <w:sz w:val="20"/>
          <w:szCs w:val="20"/>
        </w:rPr>
        <w:t>, M. (2018).</w:t>
      </w:r>
      <w:proofErr w:type="gramEnd"/>
      <w:r w:rsidRPr="00941012">
        <w:rPr>
          <w:rFonts w:ascii="Times New Roman" w:eastAsia="Calibri" w:hAnsi="Times New Roman" w:cs="Times New Roman"/>
          <w:sz w:val="20"/>
          <w:szCs w:val="20"/>
        </w:rPr>
        <w:t xml:space="preserve"> Long-Term Financial Forecasting as a Part </w:t>
      </w:r>
      <w:proofErr w:type="spellStart"/>
      <w:proofErr w:type="gramStart"/>
      <w:r w:rsidRPr="00941012">
        <w:rPr>
          <w:rFonts w:ascii="Times New Roman" w:eastAsia="Calibri" w:hAnsi="Times New Roman" w:cs="Times New Roman"/>
          <w:sz w:val="20"/>
          <w:szCs w:val="20"/>
        </w:rPr>
        <w:t>af</w:t>
      </w:r>
      <w:proofErr w:type="spellEnd"/>
      <w:proofErr w:type="gramEnd"/>
      <w:r w:rsidRPr="00941012">
        <w:rPr>
          <w:rFonts w:ascii="Times New Roman" w:eastAsia="Calibri" w:hAnsi="Times New Roman" w:cs="Times New Roman"/>
          <w:sz w:val="20"/>
          <w:szCs w:val="20"/>
        </w:rPr>
        <w:t xml:space="preserve"> Strategic Planning in Local Government Units. </w:t>
      </w:r>
      <w:r w:rsidRPr="00941012">
        <w:rPr>
          <w:rFonts w:ascii="Times New Roman" w:eastAsia="Calibri" w:hAnsi="Times New Roman" w:cs="Times New Roman"/>
          <w:i/>
          <w:iCs/>
          <w:sz w:val="20"/>
          <w:szCs w:val="20"/>
        </w:rPr>
        <w:t>Olsztyn Economic Journal</w:t>
      </w:r>
      <w:r w:rsidRPr="00941012">
        <w:rPr>
          <w:rFonts w:ascii="Times New Roman" w:eastAsia="Calibri" w:hAnsi="Times New Roman" w:cs="Times New Roman"/>
          <w:sz w:val="20"/>
          <w:szCs w:val="20"/>
        </w:rPr>
        <w:t>, </w:t>
      </w:r>
      <w:r w:rsidRPr="00941012">
        <w:rPr>
          <w:rFonts w:ascii="Times New Roman" w:eastAsia="Calibri" w:hAnsi="Times New Roman" w:cs="Times New Roman"/>
          <w:i/>
          <w:iCs/>
          <w:sz w:val="20"/>
          <w:szCs w:val="20"/>
        </w:rPr>
        <w:t>13</w:t>
      </w:r>
      <w:r w:rsidRPr="00941012">
        <w:rPr>
          <w:rFonts w:ascii="Times New Roman" w:eastAsia="Calibri" w:hAnsi="Times New Roman" w:cs="Times New Roman"/>
          <w:sz w:val="20"/>
          <w:szCs w:val="20"/>
        </w:rPr>
        <w:t>(4), 357-374.</w:t>
      </w:r>
    </w:p>
    <w:p w:rsidR="00941012" w:rsidRPr="00941012" w:rsidRDefault="0092653C" w:rsidP="00C82246">
      <w:pPr>
        <w:tabs>
          <w:tab w:val="left" w:pos="645"/>
        </w:tabs>
        <w:spacing w:line="240" w:lineRule="auto"/>
        <w:ind w:left="720" w:hanging="720"/>
        <w:rPr>
          <w:rFonts w:ascii="Times New Roman" w:eastAsia="Calibri" w:hAnsi="Times New Roman" w:cs="Times New Roman"/>
          <w:sz w:val="20"/>
          <w:szCs w:val="20"/>
        </w:rPr>
      </w:pPr>
      <w:r w:rsidRPr="00941012">
        <w:rPr>
          <w:rFonts w:ascii="Times New Roman" w:eastAsia="Calibri" w:hAnsi="Times New Roman" w:cs="Times New Roman"/>
          <w:sz w:val="20"/>
          <w:szCs w:val="20"/>
        </w:rPr>
        <w:t xml:space="preserve">Franke, P. L. (2019). </w:t>
      </w:r>
      <w:proofErr w:type="spellStart"/>
      <w:proofErr w:type="gramStart"/>
      <w:r w:rsidRPr="00941012">
        <w:rPr>
          <w:rFonts w:ascii="Times New Roman" w:eastAsia="Calibri" w:hAnsi="Times New Roman" w:cs="Times New Roman"/>
          <w:sz w:val="20"/>
          <w:szCs w:val="20"/>
        </w:rPr>
        <w:t>Kisk</w:t>
      </w:r>
      <w:proofErr w:type="spellEnd"/>
      <w:r w:rsidRPr="00941012">
        <w:rPr>
          <w:rFonts w:ascii="Times New Roman" w:eastAsia="Calibri" w:hAnsi="Times New Roman" w:cs="Times New Roman"/>
          <w:sz w:val="20"/>
          <w:szCs w:val="20"/>
        </w:rPr>
        <w:t>-adjusted Forecasting and Planning of Financial KPLs.</w:t>
      </w:r>
      <w:proofErr w:type="gramEnd"/>
    </w:p>
    <w:p w:rsidR="00941012" w:rsidRPr="00941012" w:rsidRDefault="0092653C" w:rsidP="00C82246">
      <w:pPr>
        <w:tabs>
          <w:tab w:val="left" w:pos="645"/>
        </w:tabs>
        <w:spacing w:line="240" w:lineRule="auto"/>
        <w:ind w:left="720" w:hanging="720"/>
        <w:rPr>
          <w:rFonts w:ascii="Times New Roman" w:eastAsia="Calibri" w:hAnsi="Times New Roman" w:cs="Times New Roman"/>
          <w:sz w:val="20"/>
          <w:szCs w:val="20"/>
        </w:rPr>
      </w:pPr>
      <w:proofErr w:type="spellStart"/>
      <w:proofErr w:type="gramStart"/>
      <w:r w:rsidRPr="00941012">
        <w:rPr>
          <w:rFonts w:ascii="Times New Roman" w:eastAsia="Calibri" w:hAnsi="Times New Roman" w:cs="Times New Roman"/>
          <w:sz w:val="20"/>
          <w:szCs w:val="20"/>
        </w:rPr>
        <w:t>Ittner</w:t>
      </w:r>
      <w:proofErr w:type="spellEnd"/>
      <w:r w:rsidRPr="00941012">
        <w:rPr>
          <w:rFonts w:ascii="Times New Roman" w:eastAsia="Calibri" w:hAnsi="Times New Roman" w:cs="Times New Roman"/>
          <w:sz w:val="20"/>
          <w:szCs w:val="20"/>
        </w:rPr>
        <w:t xml:space="preserve">, C. D., &amp; </w:t>
      </w:r>
      <w:proofErr w:type="spellStart"/>
      <w:r w:rsidRPr="00941012">
        <w:rPr>
          <w:rFonts w:ascii="Times New Roman" w:eastAsia="Calibri" w:hAnsi="Times New Roman" w:cs="Times New Roman"/>
          <w:sz w:val="20"/>
          <w:szCs w:val="20"/>
        </w:rPr>
        <w:t>Michels</w:t>
      </w:r>
      <w:proofErr w:type="spellEnd"/>
      <w:r w:rsidRPr="00941012">
        <w:rPr>
          <w:rFonts w:ascii="Times New Roman" w:eastAsia="Calibri" w:hAnsi="Times New Roman" w:cs="Times New Roman"/>
          <w:sz w:val="20"/>
          <w:szCs w:val="20"/>
        </w:rPr>
        <w:t>, J. (2017).</w:t>
      </w:r>
      <w:proofErr w:type="gramEnd"/>
      <w:r w:rsidRPr="00941012">
        <w:rPr>
          <w:rFonts w:ascii="Times New Roman" w:eastAsia="Calibri" w:hAnsi="Times New Roman" w:cs="Times New Roman"/>
          <w:sz w:val="20"/>
          <w:szCs w:val="20"/>
        </w:rPr>
        <w:t xml:space="preserve"> </w:t>
      </w:r>
      <w:proofErr w:type="gramStart"/>
      <w:r w:rsidRPr="00941012">
        <w:rPr>
          <w:rFonts w:ascii="Times New Roman" w:eastAsia="Calibri" w:hAnsi="Times New Roman" w:cs="Times New Roman"/>
          <w:sz w:val="20"/>
          <w:szCs w:val="20"/>
        </w:rPr>
        <w:t>Risk-based forecasting and planning and management earnings forecasts.</w:t>
      </w:r>
      <w:proofErr w:type="gramEnd"/>
      <w:r w:rsidRPr="00941012">
        <w:rPr>
          <w:rFonts w:ascii="Times New Roman" w:eastAsia="Calibri" w:hAnsi="Times New Roman" w:cs="Times New Roman"/>
          <w:sz w:val="20"/>
          <w:szCs w:val="20"/>
        </w:rPr>
        <w:t> </w:t>
      </w:r>
      <w:r w:rsidRPr="00941012">
        <w:rPr>
          <w:rFonts w:ascii="Times New Roman" w:eastAsia="Calibri" w:hAnsi="Times New Roman" w:cs="Times New Roman"/>
          <w:i/>
          <w:iCs/>
          <w:sz w:val="20"/>
          <w:szCs w:val="20"/>
        </w:rPr>
        <w:t>Review of Accounting Studies</w:t>
      </w:r>
      <w:r w:rsidRPr="00941012">
        <w:rPr>
          <w:rFonts w:ascii="Times New Roman" w:eastAsia="Calibri" w:hAnsi="Times New Roman" w:cs="Times New Roman"/>
          <w:sz w:val="20"/>
          <w:szCs w:val="20"/>
        </w:rPr>
        <w:t>, </w:t>
      </w:r>
      <w:r w:rsidRPr="00941012">
        <w:rPr>
          <w:rFonts w:ascii="Times New Roman" w:eastAsia="Calibri" w:hAnsi="Times New Roman" w:cs="Times New Roman"/>
          <w:i/>
          <w:iCs/>
          <w:sz w:val="20"/>
          <w:szCs w:val="20"/>
        </w:rPr>
        <w:t>22</w:t>
      </w:r>
      <w:r w:rsidRPr="00941012">
        <w:rPr>
          <w:rFonts w:ascii="Times New Roman" w:eastAsia="Calibri" w:hAnsi="Times New Roman" w:cs="Times New Roman"/>
          <w:sz w:val="20"/>
          <w:szCs w:val="20"/>
        </w:rPr>
        <w:t>(3), 1005-1047.</w:t>
      </w:r>
    </w:p>
    <w:p w:rsidR="007914ED" w:rsidRPr="007C6FDC" w:rsidRDefault="007914ED" w:rsidP="007C6FDC">
      <w:pPr>
        <w:tabs>
          <w:tab w:val="left" w:pos="2145"/>
        </w:tabs>
        <w:spacing w:line="240" w:lineRule="auto"/>
        <w:rPr>
          <w:sz w:val="20"/>
          <w:szCs w:val="20"/>
        </w:rPr>
      </w:pPr>
    </w:p>
    <w:sectPr w:rsidR="007914ED" w:rsidRPr="007C6FDC" w:rsidSect="00C8224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33F" w:rsidRDefault="00B8733F">
      <w:pPr>
        <w:spacing w:line="240" w:lineRule="auto"/>
      </w:pPr>
      <w:r>
        <w:separator/>
      </w:r>
    </w:p>
  </w:endnote>
  <w:endnote w:type="continuationSeparator" w:id="0">
    <w:p w:rsidR="00B8733F" w:rsidRDefault="00B873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33F" w:rsidRDefault="00B8733F">
      <w:pPr>
        <w:spacing w:line="240" w:lineRule="auto"/>
      </w:pPr>
      <w:r>
        <w:separator/>
      </w:r>
    </w:p>
  </w:footnote>
  <w:footnote w:type="continuationSeparator" w:id="0">
    <w:p w:rsidR="00B8733F" w:rsidRDefault="00B873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47198"/>
      <w:docPartObj>
        <w:docPartGallery w:val="Page Numbers (Top of Page)"/>
        <w:docPartUnique/>
      </w:docPartObj>
    </w:sdtPr>
    <w:sdtEndPr>
      <w:rPr>
        <w:noProof/>
      </w:rPr>
    </w:sdtEndPr>
    <w:sdtContent>
      <w:p w:rsidR="00C82246" w:rsidRDefault="00C82246">
        <w:pPr>
          <w:pStyle w:val="Header"/>
          <w:jc w:val="right"/>
        </w:pPr>
        <w:r>
          <w:fldChar w:fldCharType="begin"/>
        </w:r>
        <w:r>
          <w:instrText xml:space="preserve"> PAGE   \* MERGEFORMAT </w:instrText>
        </w:r>
        <w:r>
          <w:fldChar w:fldCharType="separate"/>
        </w:r>
        <w:r w:rsidR="00D456F0">
          <w:rPr>
            <w:noProof/>
          </w:rPr>
          <w:t>5</w:t>
        </w:r>
        <w:r>
          <w:rPr>
            <w:noProof/>
          </w:rPr>
          <w:fldChar w:fldCharType="end"/>
        </w:r>
      </w:p>
    </w:sdtContent>
  </w:sdt>
  <w:p w:rsidR="007B4851" w:rsidRDefault="007B48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26EB5"/>
    <w:multiLevelType w:val="hybridMultilevel"/>
    <w:tmpl w:val="488A44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C70"/>
    <w:rsid w:val="0001709D"/>
    <w:rsid w:val="00044CA2"/>
    <w:rsid w:val="0008505A"/>
    <w:rsid w:val="000C0418"/>
    <w:rsid w:val="000C3F50"/>
    <w:rsid w:val="0011554A"/>
    <w:rsid w:val="0011795F"/>
    <w:rsid w:val="00146520"/>
    <w:rsid w:val="00152B0B"/>
    <w:rsid w:val="00236758"/>
    <w:rsid w:val="002402E7"/>
    <w:rsid w:val="002753B8"/>
    <w:rsid w:val="00291D6B"/>
    <w:rsid w:val="00293533"/>
    <w:rsid w:val="00294992"/>
    <w:rsid w:val="002B7C2D"/>
    <w:rsid w:val="002C2846"/>
    <w:rsid w:val="002C2866"/>
    <w:rsid w:val="003157A3"/>
    <w:rsid w:val="00332BE1"/>
    <w:rsid w:val="003A54FF"/>
    <w:rsid w:val="003A72F3"/>
    <w:rsid w:val="003F416F"/>
    <w:rsid w:val="00421FA7"/>
    <w:rsid w:val="00497A6A"/>
    <w:rsid w:val="004A25EE"/>
    <w:rsid w:val="004A2822"/>
    <w:rsid w:val="004A330F"/>
    <w:rsid w:val="004B2609"/>
    <w:rsid w:val="00506701"/>
    <w:rsid w:val="00521A3A"/>
    <w:rsid w:val="005303D5"/>
    <w:rsid w:val="00532484"/>
    <w:rsid w:val="005327C4"/>
    <w:rsid w:val="00547C70"/>
    <w:rsid w:val="005B1C7D"/>
    <w:rsid w:val="005D6256"/>
    <w:rsid w:val="005E319F"/>
    <w:rsid w:val="006C1473"/>
    <w:rsid w:val="006D07AB"/>
    <w:rsid w:val="006D2DF8"/>
    <w:rsid w:val="006D3975"/>
    <w:rsid w:val="0072762B"/>
    <w:rsid w:val="00745872"/>
    <w:rsid w:val="00783986"/>
    <w:rsid w:val="007914ED"/>
    <w:rsid w:val="007A406E"/>
    <w:rsid w:val="007A5FE8"/>
    <w:rsid w:val="007B4851"/>
    <w:rsid w:val="007C6FDC"/>
    <w:rsid w:val="008131CA"/>
    <w:rsid w:val="00833EC3"/>
    <w:rsid w:val="00846412"/>
    <w:rsid w:val="008476B4"/>
    <w:rsid w:val="00857DC5"/>
    <w:rsid w:val="00860BEC"/>
    <w:rsid w:val="008B528A"/>
    <w:rsid w:val="008B6CF7"/>
    <w:rsid w:val="008E7BAC"/>
    <w:rsid w:val="00901C09"/>
    <w:rsid w:val="00904428"/>
    <w:rsid w:val="0092653C"/>
    <w:rsid w:val="00941012"/>
    <w:rsid w:val="00941E89"/>
    <w:rsid w:val="00943C39"/>
    <w:rsid w:val="009C54E9"/>
    <w:rsid w:val="009C625B"/>
    <w:rsid w:val="009C7989"/>
    <w:rsid w:val="009D552D"/>
    <w:rsid w:val="00A10EFF"/>
    <w:rsid w:val="00A4312B"/>
    <w:rsid w:val="00A70E50"/>
    <w:rsid w:val="00A71FCD"/>
    <w:rsid w:val="00A76B7D"/>
    <w:rsid w:val="00AC0FE7"/>
    <w:rsid w:val="00AC2B09"/>
    <w:rsid w:val="00B2014F"/>
    <w:rsid w:val="00B33C5C"/>
    <w:rsid w:val="00B44D38"/>
    <w:rsid w:val="00B472BC"/>
    <w:rsid w:val="00B541AA"/>
    <w:rsid w:val="00B6051C"/>
    <w:rsid w:val="00B8733F"/>
    <w:rsid w:val="00BB509A"/>
    <w:rsid w:val="00BC437E"/>
    <w:rsid w:val="00BC53B5"/>
    <w:rsid w:val="00BC5B02"/>
    <w:rsid w:val="00BC6F73"/>
    <w:rsid w:val="00BF7EF4"/>
    <w:rsid w:val="00C00121"/>
    <w:rsid w:val="00C2798A"/>
    <w:rsid w:val="00C32E51"/>
    <w:rsid w:val="00C3408D"/>
    <w:rsid w:val="00C40DF0"/>
    <w:rsid w:val="00C73E7F"/>
    <w:rsid w:val="00C7691B"/>
    <w:rsid w:val="00C8110C"/>
    <w:rsid w:val="00C82246"/>
    <w:rsid w:val="00C87100"/>
    <w:rsid w:val="00C95841"/>
    <w:rsid w:val="00CA3D7E"/>
    <w:rsid w:val="00CC5D98"/>
    <w:rsid w:val="00CD61CE"/>
    <w:rsid w:val="00CE2A50"/>
    <w:rsid w:val="00D110DC"/>
    <w:rsid w:val="00D1679F"/>
    <w:rsid w:val="00D323A7"/>
    <w:rsid w:val="00D456F0"/>
    <w:rsid w:val="00D62126"/>
    <w:rsid w:val="00D80CC5"/>
    <w:rsid w:val="00D91FBA"/>
    <w:rsid w:val="00E13C9F"/>
    <w:rsid w:val="00E16642"/>
    <w:rsid w:val="00E50150"/>
    <w:rsid w:val="00E53FB5"/>
    <w:rsid w:val="00EB70C8"/>
    <w:rsid w:val="00EC6190"/>
    <w:rsid w:val="00F27566"/>
    <w:rsid w:val="00F355B5"/>
    <w:rsid w:val="00F72695"/>
    <w:rsid w:val="00FC27DE"/>
    <w:rsid w:val="00FF4421"/>
    <w:rsid w:val="00FF45EB"/>
    <w:rsid w:val="00FF7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 w:eastAsiaTheme="minorHAnsi" w:hAnsi="t" w:cstheme="minorBidi"/>
        <w:sz w:val="24"/>
        <w:szCs w:val="22"/>
        <w:lang w:val="en-US"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C5C"/>
    <w:pPr>
      <w:tabs>
        <w:tab w:val="center" w:pos="4680"/>
        <w:tab w:val="right" w:pos="9360"/>
      </w:tabs>
      <w:spacing w:line="240" w:lineRule="auto"/>
    </w:pPr>
  </w:style>
  <w:style w:type="character" w:customStyle="1" w:styleId="HeaderChar">
    <w:name w:val="Header Char"/>
    <w:basedOn w:val="DefaultParagraphFont"/>
    <w:link w:val="Header"/>
    <w:uiPriority w:val="99"/>
    <w:rsid w:val="00B33C5C"/>
  </w:style>
  <w:style w:type="paragraph" w:styleId="Footer">
    <w:name w:val="footer"/>
    <w:basedOn w:val="Normal"/>
    <w:link w:val="FooterChar"/>
    <w:uiPriority w:val="99"/>
    <w:unhideWhenUsed/>
    <w:rsid w:val="00B33C5C"/>
    <w:pPr>
      <w:tabs>
        <w:tab w:val="center" w:pos="4680"/>
        <w:tab w:val="right" w:pos="9360"/>
      </w:tabs>
      <w:spacing w:line="240" w:lineRule="auto"/>
    </w:pPr>
  </w:style>
  <w:style w:type="character" w:customStyle="1" w:styleId="FooterChar">
    <w:name w:val="Footer Char"/>
    <w:basedOn w:val="DefaultParagraphFont"/>
    <w:link w:val="Footer"/>
    <w:uiPriority w:val="99"/>
    <w:rsid w:val="00B33C5C"/>
  </w:style>
  <w:style w:type="paragraph" w:styleId="ListParagraph">
    <w:name w:val="List Paragraph"/>
    <w:basedOn w:val="Normal"/>
    <w:uiPriority w:val="34"/>
    <w:qFormat/>
    <w:rsid w:val="00BC6F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 w:eastAsiaTheme="minorHAnsi" w:hAnsi="t" w:cstheme="minorBidi"/>
        <w:sz w:val="24"/>
        <w:szCs w:val="22"/>
        <w:lang w:val="en-US"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C5C"/>
    <w:pPr>
      <w:tabs>
        <w:tab w:val="center" w:pos="4680"/>
        <w:tab w:val="right" w:pos="9360"/>
      </w:tabs>
      <w:spacing w:line="240" w:lineRule="auto"/>
    </w:pPr>
  </w:style>
  <w:style w:type="character" w:customStyle="1" w:styleId="HeaderChar">
    <w:name w:val="Header Char"/>
    <w:basedOn w:val="DefaultParagraphFont"/>
    <w:link w:val="Header"/>
    <w:uiPriority w:val="99"/>
    <w:rsid w:val="00B33C5C"/>
  </w:style>
  <w:style w:type="paragraph" w:styleId="Footer">
    <w:name w:val="footer"/>
    <w:basedOn w:val="Normal"/>
    <w:link w:val="FooterChar"/>
    <w:uiPriority w:val="99"/>
    <w:unhideWhenUsed/>
    <w:rsid w:val="00B33C5C"/>
    <w:pPr>
      <w:tabs>
        <w:tab w:val="center" w:pos="4680"/>
        <w:tab w:val="right" w:pos="9360"/>
      </w:tabs>
      <w:spacing w:line="240" w:lineRule="auto"/>
    </w:pPr>
  </w:style>
  <w:style w:type="character" w:customStyle="1" w:styleId="FooterChar">
    <w:name w:val="Footer Char"/>
    <w:basedOn w:val="DefaultParagraphFont"/>
    <w:link w:val="Footer"/>
    <w:uiPriority w:val="99"/>
    <w:rsid w:val="00B33C5C"/>
  </w:style>
  <w:style w:type="paragraph" w:styleId="ListParagraph">
    <w:name w:val="List Paragraph"/>
    <w:basedOn w:val="Normal"/>
    <w:uiPriority w:val="34"/>
    <w:qFormat/>
    <w:rsid w:val="00BC6F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2219</Words>
  <Characters>12650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5</cp:revision>
  <dcterms:created xsi:type="dcterms:W3CDTF">2020-09-23T17:38:00Z</dcterms:created>
  <dcterms:modified xsi:type="dcterms:W3CDTF">2020-09-23T20:51:00Z</dcterms:modified>
</cp:coreProperties>
</file>